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E9" w:rsidRPr="00E958C1" w:rsidRDefault="00154DE9" w:rsidP="00154DE9">
      <w:pPr>
        <w:pStyle w:val="ParaAttribute1"/>
        <w:spacing w:line="313" w:lineRule="auto"/>
        <w:rPr>
          <w:rStyle w:val="CharAttribute1"/>
          <w:rFonts w:eastAsia="¹Å"/>
          <w:sz w:val="28"/>
          <w:szCs w:val="28"/>
        </w:rPr>
      </w:pPr>
      <w:bookmarkStart w:id="0" w:name="_GoBack"/>
      <w:bookmarkEnd w:id="0"/>
      <w:r w:rsidRPr="00E958C1">
        <w:rPr>
          <w:rStyle w:val="CharAttribute1"/>
          <w:rFonts w:eastAsia="¹Å"/>
          <w:sz w:val="28"/>
          <w:szCs w:val="28"/>
        </w:rPr>
        <w:t>Implementatie video in het onderwijs</w:t>
      </w:r>
    </w:p>
    <w:p w:rsidR="00154DE9" w:rsidRPr="00E958C1" w:rsidRDefault="00154DE9" w:rsidP="00154DE9">
      <w:pPr>
        <w:pStyle w:val="ParaAttribute1"/>
        <w:spacing w:line="313" w:lineRule="auto"/>
        <w:rPr>
          <w:b/>
          <w:sz w:val="24"/>
          <w:szCs w:val="24"/>
        </w:rPr>
      </w:pPr>
      <w:r w:rsidRPr="00E958C1">
        <w:rPr>
          <w:rStyle w:val="CharAttribute1"/>
          <w:rFonts w:eastAsia="¹Å"/>
          <w:b/>
          <w:szCs w:val="24"/>
        </w:rPr>
        <w:t>Behoeftebepaling video</w:t>
      </w:r>
    </w:p>
    <w:p w:rsidR="00154DE9" w:rsidRDefault="00154DE9" w:rsidP="00154DE9">
      <w:pPr>
        <w:pStyle w:val="ParaAttribute1"/>
        <w:spacing w:line="313" w:lineRule="auto"/>
        <w:rPr>
          <w:rStyle w:val="CharAttribute1"/>
          <w:rFonts w:eastAsia="¹Å"/>
          <w:szCs w:val="24"/>
        </w:rPr>
      </w:pPr>
    </w:p>
    <w:p w:rsidR="00BC1C43" w:rsidRDefault="00154DE9" w:rsidP="00154DE9">
      <w:pPr>
        <w:pStyle w:val="ParaAttribute1"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De Haagse Hogeschool heeft in het studiejaar 2012/2013 een pilot gedraaid me</w:t>
      </w:r>
      <w:r w:rsidR="00BC1C43">
        <w:rPr>
          <w:rStyle w:val="CharAttribute1"/>
          <w:rFonts w:eastAsia="¹Å"/>
          <w:szCs w:val="24"/>
        </w:rPr>
        <w:t xml:space="preserve">t het opnemen van hoorcolleges mbv </w:t>
      </w:r>
      <w:r>
        <w:rPr>
          <w:rStyle w:val="CharAttribute1"/>
          <w:rFonts w:eastAsia="¹Å"/>
          <w:szCs w:val="24"/>
        </w:rPr>
        <w:t xml:space="preserve">Mediasite. De resultaten daarvan waren </w:t>
      </w:r>
      <w:r w:rsidR="00BC1C43">
        <w:rPr>
          <w:rStyle w:val="CharAttribute1"/>
          <w:rFonts w:eastAsia="¹Å"/>
          <w:szCs w:val="24"/>
        </w:rPr>
        <w:t xml:space="preserve">erg </w:t>
      </w:r>
      <w:r>
        <w:rPr>
          <w:rStyle w:val="CharAttribute1"/>
          <w:rFonts w:eastAsia="¹Å"/>
          <w:szCs w:val="24"/>
        </w:rPr>
        <w:t xml:space="preserve">lovend </w:t>
      </w:r>
      <w:r w:rsidR="00BC1C43">
        <w:rPr>
          <w:rStyle w:val="CharAttribute1"/>
          <w:rFonts w:eastAsia="¹Å"/>
          <w:szCs w:val="24"/>
        </w:rPr>
        <w:t xml:space="preserve">waardoor </w:t>
      </w:r>
      <w:r>
        <w:rPr>
          <w:rStyle w:val="CharAttribute1"/>
          <w:rFonts w:eastAsia="¹Å"/>
          <w:szCs w:val="24"/>
        </w:rPr>
        <w:t xml:space="preserve">het CvB </w:t>
      </w:r>
    </w:p>
    <w:p w:rsidR="00BC1C43" w:rsidRDefault="00154DE9" w:rsidP="00154DE9">
      <w:pPr>
        <w:pStyle w:val="ParaAttribute1"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toestemming gaf om de pilot uit te breiden en te onderzoeken op welke wijze deze dienst </w:t>
      </w:r>
    </w:p>
    <w:p w:rsidR="00BC1C43" w:rsidRDefault="00154DE9" w:rsidP="00154DE9">
      <w:pPr>
        <w:pStyle w:val="ParaAttribute1"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stru</w:t>
      </w:r>
      <w:r w:rsidR="00BC1C43">
        <w:rPr>
          <w:rStyle w:val="CharAttribute1"/>
          <w:rFonts w:eastAsia="¹Å"/>
          <w:szCs w:val="24"/>
        </w:rPr>
        <w:t>c</w:t>
      </w:r>
      <w:r>
        <w:rPr>
          <w:rStyle w:val="CharAttribute1"/>
          <w:rFonts w:eastAsia="¹Å"/>
          <w:szCs w:val="24"/>
        </w:rPr>
        <w:t xml:space="preserve">tureel kan worden aangeboden aan de docenten. Een uitdagende klus! </w:t>
      </w:r>
    </w:p>
    <w:p w:rsidR="00BC1C43" w:rsidRDefault="00154DE9" w:rsidP="00154DE9">
      <w:pPr>
        <w:pStyle w:val="ParaAttribute1"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Een eerste stap </w:t>
      </w:r>
      <w:r w:rsidR="00BC1C43">
        <w:rPr>
          <w:rStyle w:val="CharAttribute1"/>
          <w:rFonts w:eastAsia="¹Å"/>
          <w:szCs w:val="24"/>
        </w:rPr>
        <w:t>hier</w:t>
      </w:r>
      <w:r>
        <w:rPr>
          <w:rStyle w:val="CharAttribute1"/>
          <w:rFonts w:eastAsia="¹Å"/>
          <w:szCs w:val="24"/>
        </w:rPr>
        <w:t>in is de behoeftepeiling; Hoe bepaal je nu</w:t>
      </w:r>
      <w:r w:rsidR="00BC1C43">
        <w:rPr>
          <w:rStyle w:val="CharAttribute1"/>
          <w:rFonts w:eastAsia="¹Å"/>
          <w:szCs w:val="24"/>
        </w:rPr>
        <w:t xml:space="preserve"> wat</w:t>
      </w:r>
      <w:r>
        <w:rPr>
          <w:rStyle w:val="CharAttribute1"/>
          <w:rFonts w:eastAsia="¹Å"/>
          <w:szCs w:val="24"/>
        </w:rPr>
        <w:t xml:space="preserve"> </w:t>
      </w:r>
      <w:r w:rsidR="00BC1C43">
        <w:rPr>
          <w:rStyle w:val="CharAttribute1"/>
          <w:rFonts w:eastAsia="¹Å"/>
          <w:szCs w:val="24"/>
        </w:rPr>
        <w:t>de HHs</w:t>
      </w:r>
      <w:r>
        <w:rPr>
          <w:rStyle w:val="CharAttribute1"/>
          <w:rFonts w:eastAsia="¹Å"/>
          <w:szCs w:val="24"/>
        </w:rPr>
        <w:t xml:space="preserve"> nodig he</w:t>
      </w:r>
      <w:r w:rsidR="00BC1C43">
        <w:rPr>
          <w:rStyle w:val="CharAttribute1"/>
          <w:rFonts w:eastAsia="¹Å"/>
          <w:szCs w:val="24"/>
        </w:rPr>
        <w:t>eft, hoe onderzoek je dit en stel je vast wat precies de eisen zijn</w:t>
      </w:r>
      <w:r>
        <w:rPr>
          <w:rStyle w:val="CharAttribute1"/>
          <w:rFonts w:eastAsia="¹Å"/>
          <w:szCs w:val="24"/>
        </w:rPr>
        <w:t xml:space="preserve">? We hebben </w:t>
      </w:r>
      <w:r w:rsidR="00BC1C43">
        <w:rPr>
          <w:rStyle w:val="CharAttribute1"/>
          <w:rFonts w:eastAsia="¹Å"/>
          <w:szCs w:val="24"/>
        </w:rPr>
        <w:t xml:space="preserve">hier </w:t>
      </w:r>
      <w:r>
        <w:rPr>
          <w:rStyle w:val="CharAttribute1"/>
          <w:rFonts w:eastAsia="¹Å"/>
          <w:szCs w:val="24"/>
        </w:rPr>
        <w:t>voor een aantal ver</w:t>
      </w:r>
      <w:r w:rsidR="00BC1C43">
        <w:rPr>
          <w:rStyle w:val="CharAttribute1"/>
          <w:rFonts w:eastAsia="¹Å"/>
          <w:szCs w:val="24"/>
        </w:rPr>
        <w:t>-</w:t>
      </w:r>
    </w:p>
    <w:p w:rsidR="00154DE9" w:rsidRDefault="00BC1C43" w:rsidP="00154DE9">
      <w:pPr>
        <w:pStyle w:val="ParaAttribute1"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s</w:t>
      </w:r>
      <w:r w:rsidR="00154DE9">
        <w:rPr>
          <w:rStyle w:val="CharAttribute1"/>
          <w:rFonts w:eastAsia="¹Å"/>
          <w:szCs w:val="24"/>
        </w:rPr>
        <w:t>chillende stappen ondernomen:</w:t>
      </w:r>
    </w:p>
    <w:p w:rsidR="00154DE9" w:rsidRDefault="00154DE9" w:rsidP="00154DE9">
      <w:pPr>
        <w:pStyle w:val="ParaAttribute1"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- klankbordbijeenkomst</w:t>
      </w:r>
      <w:r w:rsidR="00BC1C43">
        <w:rPr>
          <w:rStyle w:val="CharAttribute1"/>
          <w:rFonts w:eastAsia="¹Å"/>
          <w:szCs w:val="24"/>
        </w:rPr>
        <w:t>en</w:t>
      </w:r>
      <w:r>
        <w:rPr>
          <w:rStyle w:val="CharAttribute1"/>
          <w:rFonts w:eastAsia="¹Å"/>
          <w:szCs w:val="24"/>
        </w:rPr>
        <w:t xml:space="preserve"> met docenten</w:t>
      </w:r>
    </w:p>
    <w:p w:rsidR="00154DE9" w:rsidRDefault="00154DE9" w:rsidP="00154DE9">
      <w:pPr>
        <w:pStyle w:val="ParaAttribute1"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- onderzoek bij vergelijkbare instellingen</w:t>
      </w:r>
    </w:p>
    <w:p w:rsidR="00154DE9" w:rsidRDefault="00154DE9" w:rsidP="00154DE9">
      <w:pPr>
        <w:pStyle w:val="ParaAttribute1"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>- enquetes onder docenten en studenten</w:t>
      </w:r>
    </w:p>
    <w:p w:rsidR="00154DE9" w:rsidRDefault="00154DE9" w:rsidP="00154DE9">
      <w:pPr>
        <w:pStyle w:val="ParaAttribute1"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 xml:space="preserve">- deskresearch </w:t>
      </w:r>
    </w:p>
    <w:p w:rsidR="0065506E" w:rsidRDefault="0065506E" w:rsidP="00154DE9">
      <w:pPr>
        <w:pStyle w:val="ParaAttribute1"/>
        <w:spacing w:line="313" w:lineRule="auto"/>
        <w:rPr>
          <w:sz w:val="24"/>
          <w:szCs w:val="24"/>
        </w:rPr>
      </w:pPr>
    </w:p>
    <w:p w:rsidR="00BC1C43" w:rsidRDefault="00BC1C43" w:rsidP="00154DE9">
      <w:pPr>
        <w:pStyle w:val="ParaAttribute1"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Op basis van bovenstaande activiteiten zijn tot volgende inschatting gekomen</w:t>
      </w:r>
      <w:r w:rsidR="0065506E">
        <w:rPr>
          <w:rStyle w:val="CharAttribute1"/>
          <w:rFonts w:eastAsia="¹Å"/>
          <w:szCs w:val="24"/>
        </w:rPr>
        <w:t xml:space="preserve"> voor de komende jaren</w:t>
      </w:r>
      <w:r>
        <w:rPr>
          <w:rStyle w:val="CharAttribute1"/>
          <w:rFonts w:eastAsia="¹Å"/>
          <w:szCs w:val="24"/>
        </w:rPr>
        <w:t>;</w:t>
      </w:r>
    </w:p>
    <w:tbl>
      <w:tblPr>
        <w:tblW w:w="86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3470"/>
        <w:gridCol w:w="1202"/>
        <w:gridCol w:w="160"/>
        <w:gridCol w:w="1950"/>
        <w:gridCol w:w="1202"/>
      </w:tblGrid>
      <w:tr w:rsidR="00BC1C43" w:rsidRPr="00AA6139" w:rsidTr="000B793D">
        <w:trPr>
          <w:trHeight w:val="300"/>
        </w:trPr>
        <w:tc>
          <w:tcPr>
            <w:tcW w:w="6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43" w:rsidRPr="00AA6139" w:rsidRDefault="00BC1C43" w:rsidP="000B79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Cs/>
                <w:color w:val="000000"/>
                <w:sz w:val="22"/>
                <w:szCs w:val="22"/>
              </w:rPr>
              <w:t># korte filmpjes (jaarlijkse toename)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cumulatief</w:t>
            </w: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Cs/>
                <w:color w:val="000000"/>
                <w:sz w:val="22"/>
                <w:szCs w:val="22"/>
              </w:rPr>
              <w:t>uren korte filmpjes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cumulatief</w:t>
            </w:r>
          </w:p>
        </w:tc>
      </w:tr>
      <w:tr w:rsidR="00BC1C43" w:rsidRPr="00AA6139" w:rsidTr="000B793D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C43" w:rsidRPr="00AA6139" w:rsidRDefault="00BC1C43" w:rsidP="000B793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144</w:t>
            </w:r>
          </w:p>
        </w:tc>
      </w:tr>
      <w:tr w:rsidR="00BC1C43" w:rsidRPr="00AA6139" w:rsidTr="000B793D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C43" w:rsidRPr="00AA6139" w:rsidRDefault="00BC1C43" w:rsidP="000B793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1080 (+25%)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324</w:t>
            </w:r>
          </w:p>
        </w:tc>
      </w:tr>
      <w:tr w:rsidR="00BC1C43" w:rsidRPr="00AA6139" w:rsidTr="000B793D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C43" w:rsidRPr="00AA6139" w:rsidRDefault="00BC1C43" w:rsidP="000B793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2160(+100%)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4104</w:t>
            </w: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684</w:t>
            </w:r>
          </w:p>
        </w:tc>
      </w:tr>
      <w:tr w:rsidR="00BC1C43" w:rsidRPr="00AA6139" w:rsidTr="000B793D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C43" w:rsidRPr="00AA6139" w:rsidRDefault="00BC1C43" w:rsidP="000B793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3240 (+50%)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7344</w:t>
            </w: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1224</w:t>
            </w:r>
          </w:p>
        </w:tc>
      </w:tr>
      <w:tr w:rsidR="00BC1C43" w:rsidRPr="00AA6139" w:rsidTr="000B793D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C43" w:rsidRPr="00AA6139" w:rsidRDefault="00BC1C43" w:rsidP="000B793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3240 (0%)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10584</w:t>
            </w: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43" w:rsidRPr="00AA6139" w:rsidRDefault="00BC1C43" w:rsidP="000B79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3" w:rsidRPr="0065669B" w:rsidRDefault="00BC1C43" w:rsidP="000B793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1764</w:t>
            </w:r>
          </w:p>
        </w:tc>
      </w:tr>
    </w:tbl>
    <w:p w:rsidR="00C560D8" w:rsidRDefault="00C560D8" w:rsidP="00154DE9">
      <w:pPr>
        <w:pStyle w:val="ParaAttribute1"/>
        <w:spacing w:line="313" w:lineRule="auto"/>
        <w:rPr>
          <w:rStyle w:val="CharAttribute1"/>
          <w:rFonts w:eastAsia="¹Å"/>
          <w:szCs w:val="24"/>
        </w:rPr>
      </w:pPr>
    </w:p>
    <w:tbl>
      <w:tblPr>
        <w:tblW w:w="7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2955"/>
        <w:gridCol w:w="1092"/>
        <w:gridCol w:w="146"/>
        <w:gridCol w:w="1436"/>
        <w:gridCol w:w="1092"/>
      </w:tblGrid>
      <w:tr w:rsidR="0065506E" w:rsidRPr="00AA6139" w:rsidTr="0065506E">
        <w:trPr>
          <w:trHeight w:val="300"/>
        </w:trPr>
        <w:tc>
          <w:tcPr>
            <w:tcW w:w="64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06E" w:rsidRPr="00AA6139" w:rsidRDefault="0065506E" w:rsidP="00001B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506E" w:rsidRPr="00AA6139" w:rsidRDefault="0065506E" w:rsidP="00001B8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Cs/>
                <w:color w:val="000000"/>
                <w:sz w:val="22"/>
                <w:szCs w:val="22"/>
              </w:rPr>
              <w:t># colleges (jaarlijkse toename)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cumulatief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506E" w:rsidRPr="00AA6139" w:rsidRDefault="0065506E" w:rsidP="00001B8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506E" w:rsidRPr="00AA6139" w:rsidRDefault="0065506E" w:rsidP="00001B8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Cs/>
                <w:color w:val="000000"/>
                <w:sz w:val="22"/>
                <w:szCs w:val="22"/>
              </w:rPr>
              <w:t>uren colleges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cumulatief</w:t>
            </w:r>
          </w:p>
        </w:tc>
      </w:tr>
      <w:tr w:rsidR="0065506E" w:rsidRPr="00AA6139" w:rsidTr="0065506E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506E" w:rsidRPr="00AA6139" w:rsidRDefault="0065506E" w:rsidP="00001B8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6E" w:rsidRPr="00AA6139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3760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3760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8" w:space="0" w:color="auto"/>
            </w:tcBorders>
          </w:tcPr>
          <w:p w:rsidR="0065506E" w:rsidRPr="00B34C10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6E" w:rsidRPr="00B34C10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4C10">
              <w:rPr>
                <w:rFonts w:ascii="Calibri" w:hAnsi="Calibri"/>
                <w:color w:val="000000"/>
                <w:sz w:val="22"/>
                <w:szCs w:val="22"/>
              </w:rPr>
              <w:t>4888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4888</w:t>
            </w:r>
          </w:p>
        </w:tc>
      </w:tr>
      <w:tr w:rsidR="0065506E" w:rsidRPr="00AA6139" w:rsidTr="0065506E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506E" w:rsidRPr="00AA6139" w:rsidRDefault="0065506E" w:rsidP="00001B8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6E" w:rsidRPr="00AA6139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7520 (+100%)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11280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8" w:space="0" w:color="auto"/>
            </w:tcBorders>
          </w:tcPr>
          <w:p w:rsidR="0065506E" w:rsidRPr="00B34C10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6E" w:rsidRPr="00B34C10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4C10">
              <w:rPr>
                <w:rFonts w:ascii="Calibri" w:hAnsi="Calibri"/>
                <w:color w:val="000000"/>
                <w:sz w:val="22"/>
                <w:szCs w:val="22"/>
              </w:rPr>
              <w:t>9776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14664</w:t>
            </w:r>
          </w:p>
        </w:tc>
      </w:tr>
      <w:tr w:rsidR="0065506E" w:rsidRPr="00AA6139" w:rsidTr="0065506E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506E" w:rsidRPr="00AA6139" w:rsidRDefault="0065506E" w:rsidP="00001B8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6E" w:rsidRPr="00AA6139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11280 (+75%)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22560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8" w:space="0" w:color="auto"/>
            </w:tcBorders>
          </w:tcPr>
          <w:p w:rsidR="0065506E" w:rsidRPr="00B34C10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6E" w:rsidRPr="00B34C10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4C10">
              <w:rPr>
                <w:rFonts w:ascii="Calibri" w:hAnsi="Calibri"/>
                <w:color w:val="000000"/>
                <w:sz w:val="22"/>
                <w:szCs w:val="22"/>
              </w:rPr>
              <w:t>14664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29328</w:t>
            </w:r>
          </w:p>
        </w:tc>
      </w:tr>
      <w:tr w:rsidR="0065506E" w:rsidRPr="00AA6139" w:rsidTr="0065506E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506E" w:rsidRPr="00AA6139" w:rsidRDefault="0065506E" w:rsidP="00001B8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6E" w:rsidRPr="00AA6139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11280 (0%)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33840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8" w:space="0" w:color="auto"/>
            </w:tcBorders>
          </w:tcPr>
          <w:p w:rsidR="0065506E" w:rsidRPr="00B34C10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6E" w:rsidRPr="00B34C10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4C10">
              <w:rPr>
                <w:rFonts w:ascii="Calibri" w:hAnsi="Calibri"/>
                <w:color w:val="000000"/>
                <w:sz w:val="22"/>
                <w:szCs w:val="22"/>
              </w:rPr>
              <w:t>14664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43992</w:t>
            </w:r>
          </w:p>
        </w:tc>
      </w:tr>
      <w:tr w:rsidR="0065506E" w:rsidRPr="00AA6139" w:rsidTr="0065506E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506E" w:rsidRPr="00AA6139" w:rsidRDefault="0065506E" w:rsidP="00001B8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6E" w:rsidRPr="00AA6139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139">
              <w:rPr>
                <w:rFonts w:ascii="Calibri" w:hAnsi="Calibri"/>
                <w:color w:val="000000"/>
                <w:sz w:val="22"/>
                <w:szCs w:val="22"/>
              </w:rPr>
              <w:t>5640 (-50%)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39480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8" w:space="0" w:color="auto"/>
            </w:tcBorders>
          </w:tcPr>
          <w:p w:rsidR="0065506E" w:rsidRPr="00B34C10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6E" w:rsidRPr="00B34C10" w:rsidRDefault="0065506E" w:rsidP="00001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4C10">
              <w:rPr>
                <w:rFonts w:ascii="Calibri" w:hAnsi="Calibri"/>
                <w:color w:val="000000"/>
                <w:sz w:val="22"/>
                <w:szCs w:val="22"/>
              </w:rPr>
              <w:t>7332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6E" w:rsidRPr="0065669B" w:rsidRDefault="0065506E" w:rsidP="00001B83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5669B">
              <w:rPr>
                <w:rFonts w:ascii="Calibri" w:hAnsi="Calibri"/>
                <w:i/>
                <w:color w:val="000000"/>
                <w:sz w:val="22"/>
                <w:szCs w:val="22"/>
              </w:rPr>
              <w:t>51324</w:t>
            </w:r>
          </w:p>
        </w:tc>
      </w:tr>
    </w:tbl>
    <w:p w:rsidR="0065506E" w:rsidRDefault="0065506E" w:rsidP="00154DE9">
      <w:pPr>
        <w:pStyle w:val="ParaAttribute1"/>
        <w:spacing w:line="313" w:lineRule="auto"/>
        <w:rPr>
          <w:rStyle w:val="CharAttribute1"/>
          <w:rFonts w:eastAsia="¹Å"/>
          <w:szCs w:val="24"/>
        </w:rPr>
      </w:pPr>
    </w:p>
    <w:p w:rsidR="00C560D8" w:rsidRDefault="00C560D8" w:rsidP="00154DE9">
      <w:pPr>
        <w:pStyle w:val="ParaAttribute1"/>
        <w:spacing w:line="313" w:lineRule="auto"/>
        <w:rPr>
          <w:rStyle w:val="CharAttribute1"/>
          <w:rFonts w:eastAsia="¹Å"/>
          <w:szCs w:val="24"/>
        </w:rPr>
      </w:pPr>
      <w:r>
        <w:rPr>
          <w:rStyle w:val="CharAttribute1"/>
          <w:rFonts w:eastAsia="¹Å"/>
          <w:szCs w:val="24"/>
        </w:rPr>
        <w:t>Hoe wij hiertoe zijn gekomen is verder na te lezen in de bijlage</w:t>
      </w:r>
      <w:r w:rsidR="00154DE9">
        <w:rPr>
          <w:rStyle w:val="CharAttribute1"/>
          <w:rFonts w:eastAsia="¹Å"/>
          <w:szCs w:val="24"/>
        </w:rPr>
        <w:t xml:space="preserve"> en </w:t>
      </w:r>
      <w:r w:rsidR="00BC1C43">
        <w:rPr>
          <w:rStyle w:val="CharAttribute1"/>
          <w:rFonts w:eastAsia="¹Å"/>
          <w:szCs w:val="24"/>
        </w:rPr>
        <w:t xml:space="preserve">aan de hand hiervan </w:t>
      </w:r>
      <w:r w:rsidR="00154DE9">
        <w:rPr>
          <w:rStyle w:val="CharAttribute1"/>
          <w:rFonts w:eastAsia="¹Å"/>
          <w:szCs w:val="24"/>
        </w:rPr>
        <w:t xml:space="preserve">wordt de inzet </w:t>
      </w:r>
      <w:r w:rsidR="00BC1C43">
        <w:rPr>
          <w:rStyle w:val="CharAttribute1"/>
          <w:rFonts w:eastAsia="¹Å"/>
          <w:szCs w:val="24"/>
        </w:rPr>
        <w:t xml:space="preserve">bepaald </w:t>
      </w:r>
      <w:r w:rsidR="00154DE9">
        <w:rPr>
          <w:rStyle w:val="CharAttribute1"/>
          <w:rFonts w:eastAsia="¹Å"/>
          <w:szCs w:val="24"/>
        </w:rPr>
        <w:t>voor het verdere traject. We zijn benieuwd hoe andere instellingen hun be</w:t>
      </w:r>
      <w:r>
        <w:rPr>
          <w:rStyle w:val="CharAttribute1"/>
          <w:rFonts w:eastAsia="¹Å"/>
          <w:szCs w:val="24"/>
        </w:rPr>
        <w:t>-</w:t>
      </w:r>
    </w:p>
    <w:p w:rsidR="00154DE9" w:rsidRDefault="00154DE9" w:rsidP="00154DE9">
      <w:pPr>
        <w:pStyle w:val="ParaAttribute1"/>
        <w:spacing w:line="313" w:lineRule="auto"/>
        <w:rPr>
          <w:sz w:val="24"/>
          <w:szCs w:val="24"/>
        </w:rPr>
      </w:pPr>
      <w:r>
        <w:rPr>
          <w:rStyle w:val="CharAttribute1"/>
          <w:rFonts w:eastAsia="¹Å"/>
          <w:szCs w:val="24"/>
        </w:rPr>
        <w:t xml:space="preserve">hoeftebepaling hebben aangepakt en nodigen iedereen uit om hun ervaringen rondom </w:t>
      </w:r>
      <w:r w:rsidR="00BC1C43">
        <w:rPr>
          <w:rStyle w:val="CharAttribute1"/>
          <w:rFonts w:eastAsia="¹Å"/>
          <w:szCs w:val="24"/>
        </w:rPr>
        <w:t xml:space="preserve">dit onderwerp te </w:t>
      </w:r>
      <w:r>
        <w:rPr>
          <w:rStyle w:val="CharAttribute1"/>
          <w:rFonts w:eastAsia="¹Å"/>
          <w:szCs w:val="24"/>
        </w:rPr>
        <w:t xml:space="preserve">delen. Komende periode zullen we regelmatig berichten plaatsen over het implementatieproject (aanbesteding, dienstverlening,  auteurs- en portretrechten, didactische ondersteuning etc.) </w:t>
      </w:r>
    </w:p>
    <w:p w:rsidR="00B2564B" w:rsidRDefault="00B2564B"/>
    <w:sectPr w:rsidR="00B25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9"/>
    <w:rsid w:val="00154DE9"/>
    <w:rsid w:val="0020216F"/>
    <w:rsid w:val="00286EF0"/>
    <w:rsid w:val="00445AB2"/>
    <w:rsid w:val="0065506E"/>
    <w:rsid w:val="008777E1"/>
    <w:rsid w:val="00A23656"/>
    <w:rsid w:val="00B2564B"/>
    <w:rsid w:val="00BC1C43"/>
    <w:rsid w:val="00C5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4B075-46C5-4333-97BB-75F413E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1">
    <w:name w:val="ParaAttribute1"/>
    <w:rsid w:val="00154DE9"/>
    <w:pPr>
      <w:widowControl w:val="0"/>
      <w:wordWrap w:val="0"/>
      <w:spacing w:after="0" w:line="240" w:lineRule="auto"/>
    </w:pPr>
    <w:rPr>
      <w:rFonts w:ascii="Times New Roman" w:eastAsia="¹Å" w:hAnsi="Times New Roman" w:cs="Times New Roman"/>
      <w:sz w:val="20"/>
      <w:szCs w:val="20"/>
      <w:lang w:eastAsia="nl-NL"/>
    </w:rPr>
  </w:style>
  <w:style w:type="character" w:customStyle="1" w:styleId="CharAttribute1">
    <w:name w:val="CharAttribute1"/>
    <w:rsid w:val="00154DE9"/>
    <w:rPr>
      <w:rFonts w:ascii="Times New Roman" w:eastAsia="Times New Roman"/>
      <w:sz w:val="24"/>
    </w:rPr>
  </w:style>
  <w:style w:type="table" w:styleId="TableGrid">
    <w:name w:val="Table Grid"/>
    <w:basedOn w:val="TableNormal"/>
    <w:rsid w:val="0065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HHS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van Bakel</dc:creator>
  <cp:lastModifiedBy>E.A.M. Breuker</cp:lastModifiedBy>
  <cp:revision>2</cp:revision>
  <dcterms:created xsi:type="dcterms:W3CDTF">2015-07-06T14:43:00Z</dcterms:created>
  <dcterms:modified xsi:type="dcterms:W3CDTF">2015-07-06T14:43:00Z</dcterms:modified>
</cp:coreProperties>
</file>